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X="108" w:tblpY="10"/>
        <w:tblW w:w="0" w:type="auto"/>
        <w:tblLook w:val="04A0" w:firstRow="1" w:lastRow="0" w:firstColumn="1" w:lastColumn="0" w:noHBand="0" w:noVBand="1"/>
      </w:tblPr>
      <w:tblGrid>
        <w:gridCol w:w="1134"/>
      </w:tblGrid>
      <w:tr w:rsidR="00233B1F" w:rsidTr="00233B1F">
        <w:trPr>
          <w:trHeight w:val="705"/>
        </w:trPr>
        <w:tc>
          <w:tcPr>
            <w:tcW w:w="1134" w:type="dxa"/>
            <w:vAlign w:val="center"/>
          </w:tcPr>
          <w:p w:rsidR="00233B1F" w:rsidRPr="00BD64B2" w:rsidRDefault="00233B1F" w:rsidP="00233B1F">
            <w:pPr>
              <w:jc w:val="center"/>
              <w:rPr>
                <w:rFonts w:hint="eastAsia"/>
                <w:b/>
                <w:szCs w:val="21"/>
              </w:rPr>
            </w:pPr>
            <w:r w:rsidRPr="00BD64B2">
              <w:rPr>
                <w:rFonts w:hint="eastAsia"/>
                <w:b/>
                <w:szCs w:val="21"/>
              </w:rPr>
              <w:t>記入例</w:t>
            </w:r>
          </w:p>
        </w:tc>
      </w:tr>
    </w:tbl>
    <w:p w:rsidR="000C1B27" w:rsidRDefault="00581D8B" w:rsidP="00233B1F">
      <w:pPr>
        <w:ind w:firstLineChars="300" w:firstLine="840"/>
        <w:rPr>
          <w:rFonts w:hint="eastAsia"/>
          <w:sz w:val="28"/>
        </w:rPr>
      </w:pPr>
      <w:r w:rsidRPr="00581D8B">
        <w:rPr>
          <w:rFonts w:hint="eastAsia"/>
          <w:sz w:val="28"/>
        </w:rPr>
        <w:t>結核患者収容モデル事業の指定要望書</w:t>
      </w:r>
    </w:p>
    <w:p w:rsidR="00581D8B" w:rsidRDefault="00581D8B" w:rsidP="00581D8B">
      <w:pPr>
        <w:jc w:val="center"/>
        <w:rPr>
          <w:rFonts w:hint="eastAsia"/>
          <w:sz w:val="28"/>
        </w:rPr>
      </w:pPr>
    </w:p>
    <w:p w:rsidR="00581D8B" w:rsidRDefault="00581D8B" w:rsidP="00581D8B">
      <w:pPr>
        <w:jc w:val="center"/>
        <w:rPr>
          <w:rFonts w:hint="eastAsia"/>
          <w:sz w:val="28"/>
        </w:rPr>
      </w:pPr>
    </w:p>
    <w:tbl>
      <w:tblPr>
        <w:tblStyle w:val="a3"/>
        <w:tblW w:w="0" w:type="auto"/>
        <w:tblInd w:w="108" w:type="dxa"/>
        <w:tblLook w:val="04A0" w:firstRow="1" w:lastRow="0" w:firstColumn="1" w:lastColumn="0" w:noHBand="0" w:noVBand="1"/>
      </w:tblPr>
      <w:tblGrid>
        <w:gridCol w:w="993"/>
        <w:gridCol w:w="3249"/>
        <w:gridCol w:w="1003"/>
        <w:gridCol w:w="3349"/>
      </w:tblGrid>
      <w:tr w:rsidR="00581D8B" w:rsidRPr="00581D8B" w:rsidTr="00233B1F">
        <w:trPr>
          <w:trHeight w:val="947"/>
        </w:trPr>
        <w:tc>
          <w:tcPr>
            <w:tcW w:w="993" w:type="dxa"/>
            <w:vAlign w:val="center"/>
          </w:tcPr>
          <w:p w:rsidR="00581D8B" w:rsidRPr="00581D8B" w:rsidRDefault="00581D8B" w:rsidP="00581D8B">
            <w:pPr>
              <w:jc w:val="center"/>
              <w:rPr>
                <w:szCs w:val="21"/>
              </w:rPr>
            </w:pPr>
            <w:r w:rsidRPr="00581D8B">
              <w:rPr>
                <w:rFonts w:hint="eastAsia"/>
                <w:szCs w:val="21"/>
              </w:rPr>
              <w:t>病院名</w:t>
            </w:r>
          </w:p>
        </w:tc>
        <w:tc>
          <w:tcPr>
            <w:tcW w:w="3249" w:type="dxa"/>
            <w:vAlign w:val="center"/>
          </w:tcPr>
          <w:p w:rsidR="00581D8B" w:rsidRPr="00581D8B" w:rsidRDefault="00581D8B" w:rsidP="00581D8B">
            <w:pPr>
              <w:jc w:val="center"/>
              <w:rPr>
                <w:szCs w:val="21"/>
              </w:rPr>
            </w:pPr>
          </w:p>
        </w:tc>
        <w:tc>
          <w:tcPr>
            <w:tcW w:w="1003" w:type="dxa"/>
            <w:vAlign w:val="center"/>
          </w:tcPr>
          <w:p w:rsidR="00581D8B" w:rsidRPr="00581D8B" w:rsidRDefault="00581D8B" w:rsidP="00581D8B">
            <w:pPr>
              <w:jc w:val="center"/>
              <w:rPr>
                <w:szCs w:val="21"/>
              </w:rPr>
            </w:pPr>
            <w:r w:rsidRPr="00581D8B">
              <w:rPr>
                <w:rFonts w:hint="eastAsia"/>
                <w:szCs w:val="21"/>
              </w:rPr>
              <w:t>所在地</w:t>
            </w:r>
          </w:p>
        </w:tc>
        <w:tc>
          <w:tcPr>
            <w:tcW w:w="3349" w:type="dxa"/>
            <w:vAlign w:val="center"/>
          </w:tcPr>
          <w:p w:rsidR="00581D8B" w:rsidRPr="00581D8B" w:rsidRDefault="00581D8B" w:rsidP="00581D8B">
            <w:pPr>
              <w:jc w:val="center"/>
              <w:rPr>
                <w:szCs w:val="21"/>
              </w:rPr>
            </w:pPr>
          </w:p>
        </w:tc>
      </w:tr>
    </w:tbl>
    <w:p w:rsidR="00581D8B" w:rsidRDefault="00581D8B" w:rsidP="00581D8B">
      <w:pPr>
        <w:jc w:val="center"/>
        <w:rPr>
          <w:rFonts w:hint="eastAsia"/>
          <w:szCs w:val="21"/>
        </w:rPr>
      </w:pPr>
    </w:p>
    <w:p w:rsidR="00581D8B" w:rsidRDefault="00581D8B" w:rsidP="00581D8B">
      <w:pPr>
        <w:jc w:val="center"/>
        <w:rPr>
          <w:rFonts w:hint="eastAsia"/>
          <w:szCs w:val="21"/>
        </w:rPr>
      </w:pPr>
    </w:p>
    <w:p w:rsidR="00581D8B" w:rsidRPr="00581D8B" w:rsidRDefault="00581D8B" w:rsidP="00581D8B">
      <w:pPr>
        <w:pStyle w:val="a4"/>
        <w:numPr>
          <w:ilvl w:val="0"/>
          <w:numId w:val="1"/>
        </w:numPr>
        <w:ind w:leftChars="0"/>
        <w:jc w:val="left"/>
        <w:rPr>
          <w:rFonts w:hint="eastAsia"/>
          <w:szCs w:val="21"/>
        </w:rPr>
      </w:pPr>
      <w:r w:rsidRPr="00581D8B">
        <w:rPr>
          <w:rFonts w:hint="eastAsia"/>
          <w:szCs w:val="21"/>
        </w:rPr>
        <w:t>病院の現状</w:t>
      </w:r>
    </w:p>
    <w:p w:rsidR="00581D8B" w:rsidRDefault="00233B1F" w:rsidP="00581D8B">
      <w:pPr>
        <w:jc w:val="left"/>
        <w:rPr>
          <w:rFonts w:hint="eastAsia"/>
          <w:szCs w:val="21"/>
        </w:rPr>
      </w:pPr>
      <w:r>
        <w:rPr>
          <w:rFonts w:hint="eastAsia"/>
          <w:szCs w:val="21"/>
        </w:rPr>
        <w:t xml:space="preserve">　　　　　　　　　病院（以下「当該病院」という。）は病床数　　床を有する病院として、各種悪性疾患、糖尿病、慢性呼吸器疾患等</w:t>
      </w:r>
      <w:r w:rsidR="00BD64B2">
        <w:rPr>
          <w:rFonts w:hint="eastAsia"/>
          <w:szCs w:val="21"/>
        </w:rPr>
        <w:t>易</w:t>
      </w:r>
      <w:bookmarkStart w:id="0" w:name="_GoBack"/>
      <w:bookmarkEnd w:id="0"/>
      <w:r>
        <w:rPr>
          <w:rFonts w:hint="eastAsia"/>
          <w:szCs w:val="21"/>
        </w:rPr>
        <w:t>感染状態にある患者や、脳血管障害後遺症をはじめとする障害を持った高齢の患者が多数入院している。そのため、入院中に結核を合併発症する事例も多く、また、診断が入院時についた結核症例で、その全身状態から、結核病床を有する病院へ転院できない事例や転院までの数日間に入院治療を行わざるを得ない事例も多数発生している。</w:t>
      </w:r>
    </w:p>
    <w:p w:rsidR="00233B1F" w:rsidRDefault="00233B1F" w:rsidP="00581D8B">
      <w:pPr>
        <w:jc w:val="left"/>
        <w:rPr>
          <w:rFonts w:hint="eastAsia"/>
          <w:szCs w:val="21"/>
        </w:rPr>
      </w:pPr>
      <w:r>
        <w:rPr>
          <w:rFonts w:hint="eastAsia"/>
          <w:szCs w:val="21"/>
        </w:rPr>
        <w:t xml:space="preserve">　この３年間で空気感染予防策が必要な結核と診断された事例は９例で、うち８例は入院後に発症した症例である。さらにこの中で全身状態から転院が不可能であった寝たきり状態の肺炎合併症が３例であった。診断から転院までの日数は１～８日を要しており、その間は当該病院での</w:t>
      </w:r>
      <w:r w:rsidR="00BD64B2">
        <w:rPr>
          <w:rFonts w:hint="eastAsia"/>
          <w:szCs w:val="21"/>
        </w:rPr>
        <w:t>入院治療が必要であった。</w:t>
      </w:r>
    </w:p>
    <w:p w:rsidR="00BD64B2" w:rsidRDefault="00BD64B2" w:rsidP="00581D8B">
      <w:pPr>
        <w:jc w:val="left"/>
        <w:rPr>
          <w:rFonts w:hint="eastAsia"/>
          <w:szCs w:val="21"/>
        </w:rPr>
      </w:pPr>
      <w:r>
        <w:rPr>
          <w:rFonts w:hint="eastAsia"/>
          <w:szCs w:val="21"/>
        </w:rPr>
        <w:t xml:space="preserve">　以上のように結核患者の全身状態、合併症の状態、介護度の高さなどの条件により、たとえ喀痰塗抹陽性の結核患者であっても、一定期間ないしは全期間、治療せざるを得ない状況が生じている。この傾向は患者の高齢化や易感染状態の増加が予想される中、今後とも減少するとは考えにくい状況である。従って個々の患者の治療及び院内感染の発生予防の見地から結核病床を持たない当該病院においても、空気感染予防策を適切に行える病室の整備が是非とも必要である。</w:t>
      </w:r>
    </w:p>
    <w:p w:rsidR="00581D8B" w:rsidRDefault="00581D8B" w:rsidP="00581D8B">
      <w:pPr>
        <w:jc w:val="left"/>
        <w:rPr>
          <w:rFonts w:hint="eastAsia"/>
          <w:szCs w:val="21"/>
        </w:rPr>
      </w:pPr>
    </w:p>
    <w:p w:rsidR="00581D8B" w:rsidRDefault="00581D8B" w:rsidP="00581D8B">
      <w:pPr>
        <w:jc w:val="left"/>
        <w:rPr>
          <w:rFonts w:hint="eastAsia"/>
          <w:szCs w:val="21"/>
        </w:rPr>
      </w:pPr>
    </w:p>
    <w:p w:rsidR="00581D8B" w:rsidRPr="00BD64B2" w:rsidRDefault="00581D8B" w:rsidP="00BD64B2">
      <w:pPr>
        <w:pStyle w:val="a4"/>
        <w:numPr>
          <w:ilvl w:val="0"/>
          <w:numId w:val="1"/>
        </w:numPr>
        <w:ind w:leftChars="0"/>
        <w:jc w:val="left"/>
        <w:rPr>
          <w:rFonts w:hint="eastAsia"/>
          <w:szCs w:val="21"/>
        </w:rPr>
      </w:pPr>
      <w:r w:rsidRPr="00BD64B2">
        <w:rPr>
          <w:rFonts w:hint="eastAsia"/>
          <w:szCs w:val="21"/>
        </w:rPr>
        <w:t>病院において予想されるモデル病床収容患者</w:t>
      </w:r>
    </w:p>
    <w:p w:rsidR="00BD64B2" w:rsidRPr="00BD64B2" w:rsidRDefault="00BD64B2" w:rsidP="00BD64B2">
      <w:pPr>
        <w:pStyle w:val="a4"/>
        <w:numPr>
          <w:ilvl w:val="0"/>
          <w:numId w:val="2"/>
        </w:numPr>
        <w:ind w:leftChars="0"/>
        <w:jc w:val="left"/>
        <w:rPr>
          <w:rFonts w:hint="eastAsia"/>
          <w:szCs w:val="21"/>
        </w:rPr>
      </w:pPr>
      <w:r w:rsidRPr="00BD64B2">
        <w:rPr>
          <w:rFonts w:hint="eastAsia"/>
          <w:szCs w:val="21"/>
        </w:rPr>
        <w:t>全身状態（著しい高熱や消耗、低酸素血症等）により入院の上で結核治療を開始すべき患者のうち、診断日に専門病床への転院ができない患者</w:t>
      </w:r>
    </w:p>
    <w:p w:rsidR="00BD64B2" w:rsidRDefault="00BD64B2" w:rsidP="00BD64B2">
      <w:pPr>
        <w:pStyle w:val="a4"/>
        <w:numPr>
          <w:ilvl w:val="0"/>
          <w:numId w:val="2"/>
        </w:numPr>
        <w:ind w:leftChars="0"/>
        <w:jc w:val="left"/>
        <w:rPr>
          <w:rFonts w:hint="eastAsia"/>
          <w:szCs w:val="21"/>
        </w:rPr>
      </w:pPr>
      <w:r>
        <w:rPr>
          <w:rFonts w:hint="eastAsia"/>
          <w:szCs w:val="21"/>
        </w:rPr>
        <w:t>合併症・基礎疾患の状態により転院ができない患者（血液透析、人工呼吸、終末期の悪性腫瘍など）</w:t>
      </w:r>
    </w:p>
    <w:p w:rsidR="00BD64B2" w:rsidRPr="00BD64B2" w:rsidRDefault="00BD64B2" w:rsidP="00BD64B2">
      <w:pPr>
        <w:pStyle w:val="a4"/>
        <w:numPr>
          <w:ilvl w:val="0"/>
          <w:numId w:val="2"/>
        </w:numPr>
        <w:ind w:leftChars="0"/>
        <w:jc w:val="left"/>
        <w:rPr>
          <w:szCs w:val="21"/>
        </w:rPr>
      </w:pPr>
      <w:r>
        <w:rPr>
          <w:rFonts w:hint="eastAsia"/>
          <w:szCs w:val="21"/>
        </w:rPr>
        <w:t>介護度が高いため、直ぐには受入れ先が見つからない患者</w:t>
      </w:r>
    </w:p>
    <w:sectPr w:rsidR="00BD64B2" w:rsidRPr="00BD64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458D"/>
    <w:multiLevelType w:val="hybridMultilevel"/>
    <w:tmpl w:val="DD1AE692"/>
    <w:lvl w:ilvl="0" w:tplc="3252F2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5409C3"/>
    <w:multiLevelType w:val="hybridMultilevel"/>
    <w:tmpl w:val="6B88C384"/>
    <w:lvl w:ilvl="0" w:tplc="2772B1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8B"/>
    <w:rsid w:val="000C1B27"/>
    <w:rsid w:val="00233B1F"/>
    <w:rsid w:val="00581D8B"/>
    <w:rsid w:val="00BD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1D8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1D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dcterms:created xsi:type="dcterms:W3CDTF">2017-08-07T10:38:00Z</dcterms:created>
  <dcterms:modified xsi:type="dcterms:W3CDTF">2017-08-07T10:38:00Z</dcterms:modified>
</cp:coreProperties>
</file>